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70"/>
        <w:gridCol w:w="3071"/>
        <w:gridCol w:w="3071"/>
      </w:tblGrid>
      <w:tr w:rsidR="00E03EF5" w:rsidRPr="00183459">
        <w:tc>
          <w:tcPr>
            <w:tcW w:w="3070" w:type="dxa"/>
            <w:shd w:val="clear" w:color="auto" w:fill="auto"/>
          </w:tcPr>
          <w:p w:rsidR="00E03EF5" w:rsidRPr="00183459" w:rsidRDefault="002A34AB" w:rsidP="00183459">
            <w:pPr>
              <w:pStyle w:val="Heading1"/>
              <w:spacing w:line="240" w:lineRule="auto"/>
              <w:jc w:val="center"/>
              <w:rPr>
                <w:sz w:val="36"/>
                <w:szCs w:val="36"/>
              </w:rPr>
            </w:pPr>
            <w:r>
              <w:rPr>
                <w:noProof/>
                <w:sz w:val="36"/>
                <w:szCs w:val="36"/>
                <w:lang w:eastAsia="nl-NL"/>
              </w:rPr>
              <w:drawing>
                <wp:inline distT="0" distB="0" distL="0" distR="0">
                  <wp:extent cx="1245235" cy="13131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c>
          <w:tcPr>
            <w:tcW w:w="3071" w:type="dxa"/>
            <w:shd w:val="clear" w:color="auto" w:fill="auto"/>
          </w:tcPr>
          <w:p w:rsidR="00E03EF5" w:rsidRPr="00183459" w:rsidRDefault="005D0085" w:rsidP="00183459">
            <w:pPr>
              <w:pStyle w:val="Heading1"/>
              <w:spacing w:line="240" w:lineRule="auto"/>
              <w:jc w:val="center"/>
              <w:rPr>
                <w:sz w:val="36"/>
                <w:szCs w:val="36"/>
              </w:rPr>
            </w:pPr>
            <w:r>
              <w:rPr>
                <w:sz w:val="36"/>
                <w:szCs w:val="36"/>
              </w:rPr>
              <w:t xml:space="preserve">Stokkersbokaal </w:t>
            </w:r>
            <w:r w:rsidR="00630BF0">
              <w:rPr>
                <w:sz w:val="36"/>
                <w:szCs w:val="36"/>
              </w:rPr>
              <w:br/>
              <w:t xml:space="preserve">driebanden klein </w:t>
            </w:r>
            <w:r>
              <w:rPr>
                <w:sz w:val="36"/>
                <w:szCs w:val="36"/>
              </w:rPr>
              <w:t>editie 201</w:t>
            </w:r>
            <w:r w:rsidR="00D33D22">
              <w:rPr>
                <w:sz w:val="36"/>
                <w:szCs w:val="36"/>
              </w:rPr>
              <w:t>9</w:t>
            </w:r>
            <w:r w:rsidR="00E03EF5" w:rsidRPr="00183459">
              <w:rPr>
                <w:sz w:val="36"/>
                <w:szCs w:val="36"/>
              </w:rPr>
              <w:t>.</w:t>
            </w:r>
          </w:p>
          <w:p w:rsidR="00E03EF5" w:rsidRPr="00183459" w:rsidRDefault="00E03EF5" w:rsidP="00183459">
            <w:pPr>
              <w:pStyle w:val="Heading1"/>
              <w:spacing w:line="240" w:lineRule="auto"/>
              <w:jc w:val="center"/>
              <w:rPr>
                <w:sz w:val="36"/>
                <w:szCs w:val="36"/>
              </w:rPr>
            </w:pPr>
          </w:p>
        </w:tc>
        <w:tc>
          <w:tcPr>
            <w:tcW w:w="3071" w:type="dxa"/>
            <w:shd w:val="clear" w:color="auto" w:fill="auto"/>
          </w:tcPr>
          <w:p w:rsidR="00E03EF5" w:rsidRPr="00183459" w:rsidRDefault="002A34AB" w:rsidP="00183459">
            <w:pPr>
              <w:pStyle w:val="Heading1"/>
              <w:spacing w:line="240" w:lineRule="auto"/>
              <w:jc w:val="center"/>
              <w:rPr>
                <w:sz w:val="36"/>
                <w:szCs w:val="36"/>
              </w:rPr>
            </w:pPr>
            <w:r>
              <w:rPr>
                <w:noProof/>
                <w:sz w:val="36"/>
                <w:szCs w:val="36"/>
                <w:lang w:eastAsia="nl-NL"/>
              </w:rPr>
              <w:drawing>
                <wp:inline distT="0" distB="0" distL="0" distR="0">
                  <wp:extent cx="1245235" cy="13131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r>
    </w:tbl>
    <w:p w:rsidR="000042D4" w:rsidRPr="000042D4" w:rsidRDefault="000042D4" w:rsidP="000042D4">
      <w:pPr>
        <w:pStyle w:val="Heading2"/>
        <w:rPr>
          <w:sz w:val="28"/>
          <w:szCs w:val="28"/>
        </w:rPr>
      </w:pPr>
      <w:r w:rsidRPr="000042D4">
        <w:rPr>
          <w:sz w:val="28"/>
          <w:szCs w:val="28"/>
        </w:rPr>
        <w:t>Inleiding</w:t>
      </w:r>
    </w:p>
    <w:p w:rsidR="0005391B" w:rsidRDefault="003F75FE">
      <w:r>
        <w:br/>
      </w:r>
      <w:r w:rsidR="000042D4">
        <w:t xml:space="preserve">Sinds het toernooi om de Stokkersbokaal in 1997 weer nieuw is in geblazen, heeft het traditioneel altijd op de grote matchtafel plaatsgevonden, om met de tijd mee te gaan en aan mensen die het spel op de grote tafel te moeilijk vinden, ook een kans te geven is </w:t>
      </w:r>
      <w:r w:rsidR="00EE6897">
        <w:t>er sinds 2015</w:t>
      </w:r>
      <w:r w:rsidR="00BE47D4">
        <w:t xml:space="preserve"> </w:t>
      </w:r>
      <w:r w:rsidR="000042D4">
        <w:t>ook de Stokkersbokaal op de kleine tafel georganiseerd.</w:t>
      </w:r>
      <w:r>
        <w:br/>
        <w:t xml:space="preserve">Dit jaar hadden zich de volgende spelers zich gekwalificeerd, </w:t>
      </w:r>
      <w:r w:rsidR="00AD6212">
        <w:t>Hans Vriendts</w:t>
      </w:r>
      <w:r w:rsidR="00D63C56">
        <w:t>, vereniging KMO’74</w:t>
      </w:r>
      <w:r w:rsidR="00026DDF">
        <w:t xml:space="preserve"> te maken 49</w:t>
      </w:r>
      <w:r w:rsidR="00AD6212">
        <w:t>, Wim Bourgonje,</w:t>
      </w:r>
      <w:r w:rsidR="00D63C56">
        <w:t xml:space="preserve"> vereniging BC Stokkers</w:t>
      </w:r>
      <w:r w:rsidR="00026DDF">
        <w:t xml:space="preserve"> te maken 23</w:t>
      </w:r>
      <w:r w:rsidR="00D63C56">
        <w:t>,</w:t>
      </w:r>
      <w:r w:rsidR="00AD6212">
        <w:t xml:space="preserve"> Bert Bruggeman</w:t>
      </w:r>
      <w:r w:rsidR="00D63C56">
        <w:t>, vereniging De Haven uit Hengelo</w:t>
      </w:r>
      <w:r w:rsidR="00026DDF">
        <w:t xml:space="preserve"> te maken 25</w:t>
      </w:r>
      <w:r w:rsidR="00AD6212">
        <w:t xml:space="preserve"> en Ton Bakker</w:t>
      </w:r>
      <w:r w:rsidR="00D63C56">
        <w:t>, vereniging De Bierhandel uit Mariënberg</w:t>
      </w:r>
      <w:r w:rsidR="00026DDF">
        <w:t xml:space="preserve"> te maken 21 caramboles</w:t>
      </w:r>
      <w:r>
        <w:t>.</w:t>
      </w:r>
    </w:p>
    <w:p w:rsidR="006C7488" w:rsidRPr="006C7488" w:rsidRDefault="006C7488">
      <w:pPr>
        <w:rPr>
          <w:b/>
          <w:sz w:val="28"/>
          <w:szCs w:val="28"/>
        </w:rPr>
      </w:pPr>
      <w:r w:rsidRPr="006C7488">
        <w:rPr>
          <w:b/>
          <w:sz w:val="28"/>
          <w:szCs w:val="28"/>
        </w:rPr>
        <w:t xml:space="preserve">En de winnaar van de Stokkersbokaal </w:t>
      </w:r>
      <w:r w:rsidR="00EE6897">
        <w:rPr>
          <w:b/>
          <w:sz w:val="28"/>
          <w:szCs w:val="28"/>
        </w:rPr>
        <w:t>201</w:t>
      </w:r>
      <w:r w:rsidR="00AD6212">
        <w:rPr>
          <w:b/>
          <w:sz w:val="28"/>
          <w:szCs w:val="28"/>
        </w:rPr>
        <w:t>9</w:t>
      </w:r>
      <w:r w:rsidR="00EE6897">
        <w:rPr>
          <w:b/>
          <w:sz w:val="28"/>
          <w:szCs w:val="28"/>
        </w:rPr>
        <w:t xml:space="preserve"> </w:t>
      </w:r>
      <w:r w:rsidRPr="006C7488">
        <w:rPr>
          <w:b/>
          <w:sz w:val="28"/>
          <w:szCs w:val="28"/>
        </w:rPr>
        <w:t>driebanden klein is:</w:t>
      </w:r>
    </w:p>
    <w:p w:rsidR="006C7488" w:rsidRPr="00667046" w:rsidRDefault="0060204D">
      <w:pPr>
        <w:rPr>
          <w:b/>
          <w:sz w:val="48"/>
          <w:szCs w:val="48"/>
        </w:rPr>
      </w:pPr>
      <w:r>
        <w:rPr>
          <w:b/>
          <w:sz w:val="48"/>
          <w:szCs w:val="48"/>
        </w:rPr>
        <w:t>Hans Vriendts</w:t>
      </w:r>
      <w:r w:rsidR="00045A4E">
        <w:rPr>
          <w:b/>
          <w:sz w:val="48"/>
          <w:szCs w:val="48"/>
        </w:rPr>
        <w:t xml:space="preserve"> </w:t>
      </w:r>
      <w:r w:rsidR="00667046" w:rsidRPr="00667046">
        <w:rPr>
          <w:b/>
          <w:sz w:val="48"/>
          <w:szCs w:val="48"/>
        </w:rPr>
        <w:t xml:space="preserve">uit </w:t>
      </w:r>
      <w:r>
        <w:rPr>
          <w:b/>
          <w:sz w:val="48"/>
          <w:szCs w:val="48"/>
        </w:rPr>
        <w:t>Enschede</w:t>
      </w:r>
      <w:r w:rsidR="00667046" w:rsidRPr="00667046">
        <w:rPr>
          <w:b/>
          <w:sz w:val="48"/>
          <w:szCs w:val="48"/>
        </w:rPr>
        <w:t>.</w:t>
      </w:r>
    </w:p>
    <w:p w:rsidR="006C7488" w:rsidRDefault="006C7488" w:rsidP="006C7488">
      <w:pPr>
        <w:pStyle w:val="Heading1"/>
        <w:rPr>
          <w:sz w:val="32"/>
          <w:szCs w:val="32"/>
        </w:rPr>
      </w:pPr>
      <w:r w:rsidRPr="006C7488">
        <w:rPr>
          <w:sz w:val="32"/>
          <w:szCs w:val="32"/>
        </w:rPr>
        <w:t>Eindstand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635"/>
        <w:gridCol w:w="720"/>
        <w:gridCol w:w="656"/>
        <w:gridCol w:w="1149"/>
        <w:gridCol w:w="1156"/>
        <w:gridCol w:w="1153"/>
        <w:gridCol w:w="1284"/>
      </w:tblGrid>
      <w:tr w:rsidR="00667046" w:rsidRPr="00183459">
        <w:tc>
          <w:tcPr>
            <w:tcW w:w="533" w:type="dxa"/>
            <w:shd w:val="clear" w:color="auto" w:fill="auto"/>
          </w:tcPr>
          <w:p w:rsidR="00BE47D4" w:rsidRPr="00183459" w:rsidRDefault="00BE47D4" w:rsidP="00183459">
            <w:pPr>
              <w:spacing w:after="0" w:line="240" w:lineRule="auto"/>
              <w:rPr>
                <w:b/>
              </w:rPr>
            </w:pPr>
            <w:r w:rsidRPr="00183459">
              <w:rPr>
                <w:b/>
              </w:rPr>
              <w:t>Nr.</w:t>
            </w:r>
          </w:p>
        </w:tc>
        <w:tc>
          <w:tcPr>
            <w:tcW w:w="2635" w:type="dxa"/>
            <w:shd w:val="clear" w:color="auto" w:fill="auto"/>
          </w:tcPr>
          <w:p w:rsidR="00BE47D4" w:rsidRPr="00183459" w:rsidRDefault="00BE47D4" w:rsidP="00667046">
            <w:pPr>
              <w:spacing w:after="0" w:line="240" w:lineRule="auto"/>
              <w:rPr>
                <w:b/>
                <w:sz w:val="20"/>
                <w:szCs w:val="20"/>
              </w:rPr>
            </w:pPr>
            <w:r w:rsidRPr="00183459">
              <w:rPr>
                <w:b/>
                <w:sz w:val="20"/>
                <w:szCs w:val="20"/>
              </w:rPr>
              <w:t>Naam speler</w:t>
            </w:r>
          </w:p>
        </w:tc>
        <w:tc>
          <w:tcPr>
            <w:tcW w:w="720" w:type="dxa"/>
            <w:shd w:val="clear" w:color="auto" w:fill="auto"/>
          </w:tcPr>
          <w:p w:rsidR="00BE47D4" w:rsidRPr="00183459" w:rsidRDefault="00667046" w:rsidP="00183459">
            <w:pPr>
              <w:spacing w:after="0" w:line="240" w:lineRule="auto"/>
              <w:jc w:val="center"/>
              <w:rPr>
                <w:b/>
                <w:sz w:val="20"/>
                <w:szCs w:val="20"/>
              </w:rPr>
            </w:pPr>
            <w:r>
              <w:rPr>
                <w:b/>
                <w:sz w:val="20"/>
                <w:szCs w:val="20"/>
              </w:rPr>
              <w:t>TM</w:t>
            </w:r>
          </w:p>
        </w:tc>
        <w:tc>
          <w:tcPr>
            <w:tcW w:w="656" w:type="dxa"/>
            <w:shd w:val="clear" w:color="auto" w:fill="auto"/>
          </w:tcPr>
          <w:p w:rsidR="00BE47D4" w:rsidRPr="00183459" w:rsidRDefault="00667046" w:rsidP="00183459">
            <w:pPr>
              <w:spacing w:after="0" w:line="240" w:lineRule="auto"/>
              <w:jc w:val="center"/>
              <w:rPr>
                <w:b/>
                <w:sz w:val="20"/>
                <w:szCs w:val="20"/>
              </w:rPr>
            </w:pPr>
            <w:r>
              <w:rPr>
                <w:b/>
                <w:sz w:val="20"/>
                <w:szCs w:val="20"/>
              </w:rPr>
              <w:t>GM</w:t>
            </w:r>
          </w:p>
        </w:tc>
        <w:tc>
          <w:tcPr>
            <w:tcW w:w="1149"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Aantal beurten</w:t>
            </w:r>
          </w:p>
        </w:tc>
        <w:tc>
          <w:tcPr>
            <w:tcW w:w="1156"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Moyenne</w:t>
            </w:r>
          </w:p>
        </w:tc>
        <w:tc>
          <w:tcPr>
            <w:tcW w:w="1153"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Hoogste serie</w:t>
            </w:r>
          </w:p>
        </w:tc>
        <w:tc>
          <w:tcPr>
            <w:tcW w:w="1284"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Scorings</w:t>
            </w:r>
            <w:r w:rsidRPr="00183459">
              <w:rPr>
                <w:b/>
                <w:sz w:val="20"/>
                <w:szCs w:val="20"/>
              </w:rPr>
              <w:br/>
              <w:t>percentage</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1.</w:t>
            </w:r>
          </w:p>
        </w:tc>
        <w:tc>
          <w:tcPr>
            <w:tcW w:w="2635" w:type="dxa"/>
            <w:shd w:val="clear" w:color="auto" w:fill="auto"/>
          </w:tcPr>
          <w:p w:rsidR="00BE47D4" w:rsidRPr="00667046" w:rsidRDefault="0060204D" w:rsidP="00183459">
            <w:pPr>
              <w:spacing w:after="0" w:line="240" w:lineRule="auto"/>
              <w:rPr>
                <w:b/>
                <w:sz w:val="20"/>
                <w:szCs w:val="20"/>
              </w:rPr>
            </w:pPr>
            <w:r>
              <w:rPr>
                <w:b/>
                <w:sz w:val="20"/>
                <w:szCs w:val="20"/>
              </w:rPr>
              <w:t>Hans Vriendts</w:t>
            </w:r>
          </w:p>
        </w:tc>
        <w:tc>
          <w:tcPr>
            <w:tcW w:w="720" w:type="dxa"/>
            <w:shd w:val="clear" w:color="auto" w:fill="auto"/>
          </w:tcPr>
          <w:p w:rsidR="00BE47D4" w:rsidRPr="00667046" w:rsidRDefault="0060204D" w:rsidP="00667046">
            <w:pPr>
              <w:spacing w:after="0" w:line="240" w:lineRule="auto"/>
              <w:jc w:val="center"/>
              <w:rPr>
                <w:b/>
                <w:sz w:val="20"/>
                <w:szCs w:val="20"/>
              </w:rPr>
            </w:pPr>
            <w:r>
              <w:rPr>
                <w:b/>
                <w:sz w:val="20"/>
                <w:szCs w:val="20"/>
              </w:rPr>
              <w:t>147</w:t>
            </w:r>
          </w:p>
        </w:tc>
        <w:tc>
          <w:tcPr>
            <w:tcW w:w="656" w:type="dxa"/>
            <w:shd w:val="clear" w:color="auto" w:fill="auto"/>
          </w:tcPr>
          <w:p w:rsidR="00BE47D4" w:rsidRPr="00667046" w:rsidRDefault="002B0555" w:rsidP="00667046">
            <w:pPr>
              <w:spacing w:after="0" w:line="240" w:lineRule="auto"/>
              <w:jc w:val="center"/>
              <w:rPr>
                <w:b/>
                <w:sz w:val="20"/>
                <w:szCs w:val="20"/>
              </w:rPr>
            </w:pPr>
            <w:r>
              <w:rPr>
                <w:b/>
                <w:sz w:val="20"/>
                <w:szCs w:val="20"/>
              </w:rPr>
              <w:t>147</w:t>
            </w:r>
          </w:p>
        </w:tc>
        <w:tc>
          <w:tcPr>
            <w:tcW w:w="1149" w:type="dxa"/>
            <w:shd w:val="clear" w:color="auto" w:fill="auto"/>
          </w:tcPr>
          <w:p w:rsidR="00BE47D4" w:rsidRPr="00667046" w:rsidRDefault="002B0555" w:rsidP="00667046">
            <w:pPr>
              <w:spacing w:after="0" w:line="240" w:lineRule="auto"/>
              <w:jc w:val="center"/>
              <w:rPr>
                <w:b/>
                <w:sz w:val="20"/>
                <w:szCs w:val="20"/>
              </w:rPr>
            </w:pPr>
            <w:r>
              <w:rPr>
                <w:b/>
                <w:sz w:val="20"/>
                <w:szCs w:val="20"/>
              </w:rPr>
              <w:t>140</w:t>
            </w:r>
          </w:p>
        </w:tc>
        <w:tc>
          <w:tcPr>
            <w:tcW w:w="1156" w:type="dxa"/>
            <w:shd w:val="clear" w:color="auto" w:fill="auto"/>
          </w:tcPr>
          <w:p w:rsidR="00BE47D4" w:rsidRPr="00667046" w:rsidRDefault="002B0555" w:rsidP="00667046">
            <w:pPr>
              <w:spacing w:after="0" w:line="240" w:lineRule="auto"/>
              <w:jc w:val="center"/>
              <w:rPr>
                <w:b/>
                <w:sz w:val="20"/>
                <w:szCs w:val="20"/>
              </w:rPr>
            </w:pPr>
            <w:r>
              <w:rPr>
                <w:b/>
                <w:sz w:val="20"/>
                <w:szCs w:val="20"/>
              </w:rPr>
              <w:t>1.050</w:t>
            </w:r>
          </w:p>
        </w:tc>
        <w:tc>
          <w:tcPr>
            <w:tcW w:w="1153" w:type="dxa"/>
            <w:shd w:val="clear" w:color="auto" w:fill="auto"/>
          </w:tcPr>
          <w:p w:rsidR="00BE47D4" w:rsidRPr="00667046" w:rsidRDefault="002B0555" w:rsidP="00667046">
            <w:pPr>
              <w:spacing w:after="0" w:line="240" w:lineRule="auto"/>
              <w:jc w:val="center"/>
              <w:rPr>
                <w:b/>
                <w:sz w:val="20"/>
                <w:szCs w:val="20"/>
              </w:rPr>
            </w:pPr>
            <w:r>
              <w:rPr>
                <w:b/>
                <w:sz w:val="20"/>
                <w:szCs w:val="20"/>
              </w:rPr>
              <w:t>5</w:t>
            </w:r>
          </w:p>
        </w:tc>
        <w:tc>
          <w:tcPr>
            <w:tcW w:w="1284" w:type="dxa"/>
            <w:shd w:val="clear" w:color="auto" w:fill="auto"/>
          </w:tcPr>
          <w:p w:rsidR="00BE47D4" w:rsidRPr="00667046" w:rsidRDefault="002B0555" w:rsidP="00667046">
            <w:pPr>
              <w:spacing w:after="0" w:line="240" w:lineRule="auto"/>
              <w:jc w:val="center"/>
              <w:rPr>
                <w:b/>
                <w:sz w:val="20"/>
                <w:szCs w:val="20"/>
              </w:rPr>
            </w:pPr>
            <w:r>
              <w:rPr>
                <w:b/>
                <w:sz w:val="20"/>
                <w:szCs w:val="20"/>
              </w:rPr>
              <w:t>100%</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2.</w:t>
            </w:r>
          </w:p>
        </w:tc>
        <w:tc>
          <w:tcPr>
            <w:tcW w:w="2635" w:type="dxa"/>
            <w:shd w:val="clear" w:color="auto" w:fill="auto"/>
          </w:tcPr>
          <w:p w:rsidR="00BE47D4" w:rsidRPr="00667046" w:rsidRDefault="0060204D" w:rsidP="00183459">
            <w:pPr>
              <w:spacing w:after="0" w:line="240" w:lineRule="auto"/>
              <w:rPr>
                <w:b/>
                <w:sz w:val="20"/>
                <w:szCs w:val="20"/>
              </w:rPr>
            </w:pPr>
            <w:r>
              <w:rPr>
                <w:b/>
                <w:sz w:val="20"/>
                <w:szCs w:val="20"/>
              </w:rPr>
              <w:t>Wim Bourgonje</w:t>
            </w:r>
          </w:p>
        </w:tc>
        <w:tc>
          <w:tcPr>
            <w:tcW w:w="720" w:type="dxa"/>
            <w:shd w:val="clear" w:color="auto" w:fill="auto"/>
          </w:tcPr>
          <w:p w:rsidR="00BE47D4" w:rsidRPr="00667046" w:rsidRDefault="0060204D" w:rsidP="00667046">
            <w:pPr>
              <w:spacing w:after="0" w:line="240" w:lineRule="auto"/>
              <w:jc w:val="center"/>
              <w:rPr>
                <w:b/>
                <w:sz w:val="20"/>
                <w:szCs w:val="20"/>
              </w:rPr>
            </w:pPr>
            <w:r>
              <w:rPr>
                <w:b/>
                <w:sz w:val="20"/>
                <w:szCs w:val="20"/>
              </w:rPr>
              <w:t>69</w:t>
            </w:r>
          </w:p>
        </w:tc>
        <w:tc>
          <w:tcPr>
            <w:tcW w:w="656" w:type="dxa"/>
            <w:shd w:val="clear" w:color="auto" w:fill="auto"/>
          </w:tcPr>
          <w:p w:rsidR="00BE47D4" w:rsidRPr="00667046" w:rsidRDefault="0060204D" w:rsidP="00667046">
            <w:pPr>
              <w:spacing w:after="0" w:line="240" w:lineRule="auto"/>
              <w:jc w:val="center"/>
              <w:rPr>
                <w:b/>
                <w:sz w:val="20"/>
                <w:szCs w:val="20"/>
              </w:rPr>
            </w:pPr>
            <w:r>
              <w:rPr>
                <w:b/>
                <w:sz w:val="20"/>
                <w:szCs w:val="20"/>
              </w:rPr>
              <w:t>55</w:t>
            </w:r>
          </w:p>
        </w:tc>
        <w:tc>
          <w:tcPr>
            <w:tcW w:w="1149" w:type="dxa"/>
            <w:shd w:val="clear" w:color="auto" w:fill="auto"/>
          </w:tcPr>
          <w:p w:rsidR="00BE47D4" w:rsidRPr="00667046" w:rsidRDefault="0060204D" w:rsidP="00667046">
            <w:pPr>
              <w:spacing w:after="0" w:line="240" w:lineRule="auto"/>
              <w:jc w:val="center"/>
              <w:rPr>
                <w:b/>
                <w:sz w:val="20"/>
                <w:szCs w:val="20"/>
              </w:rPr>
            </w:pPr>
            <w:r>
              <w:rPr>
                <w:b/>
                <w:sz w:val="20"/>
                <w:szCs w:val="20"/>
              </w:rPr>
              <w:t>132</w:t>
            </w:r>
          </w:p>
        </w:tc>
        <w:tc>
          <w:tcPr>
            <w:tcW w:w="1156" w:type="dxa"/>
            <w:shd w:val="clear" w:color="auto" w:fill="auto"/>
          </w:tcPr>
          <w:p w:rsidR="00BE47D4" w:rsidRPr="00667046" w:rsidRDefault="0060204D" w:rsidP="00667046">
            <w:pPr>
              <w:spacing w:after="0" w:line="240" w:lineRule="auto"/>
              <w:jc w:val="center"/>
              <w:rPr>
                <w:b/>
                <w:sz w:val="20"/>
                <w:szCs w:val="20"/>
              </w:rPr>
            </w:pPr>
            <w:r>
              <w:rPr>
                <w:b/>
                <w:sz w:val="20"/>
                <w:szCs w:val="20"/>
              </w:rPr>
              <w:t>0.417</w:t>
            </w:r>
          </w:p>
        </w:tc>
        <w:tc>
          <w:tcPr>
            <w:tcW w:w="1153" w:type="dxa"/>
            <w:shd w:val="clear" w:color="auto" w:fill="auto"/>
          </w:tcPr>
          <w:p w:rsidR="00BE47D4" w:rsidRPr="00667046" w:rsidRDefault="0060204D" w:rsidP="00667046">
            <w:pPr>
              <w:spacing w:after="0" w:line="240" w:lineRule="auto"/>
              <w:jc w:val="center"/>
              <w:rPr>
                <w:b/>
                <w:sz w:val="20"/>
                <w:szCs w:val="20"/>
              </w:rPr>
            </w:pPr>
            <w:r>
              <w:rPr>
                <w:b/>
                <w:sz w:val="20"/>
                <w:szCs w:val="20"/>
              </w:rPr>
              <w:t>4</w:t>
            </w:r>
          </w:p>
        </w:tc>
        <w:tc>
          <w:tcPr>
            <w:tcW w:w="1284" w:type="dxa"/>
            <w:shd w:val="clear" w:color="auto" w:fill="auto"/>
          </w:tcPr>
          <w:p w:rsidR="00BE47D4" w:rsidRPr="00667046" w:rsidRDefault="0060204D" w:rsidP="00667046">
            <w:pPr>
              <w:spacing w:after="0" w:line="240" w:lineRule="auto"/>
              <w:jc w:val="center"/>
              <w:rPr>
                <w:b/>
                <w:sz w:val="20"/>
                <w:szCs w:val="20"/>
              </w:rPr>
            </w:pPr>
            <w:r>
              <w:rPr>
                <w:b/>
                <w:sz w:val="20"/>
                <w:szCs w:val="20"/>
              </w:rPr>
              <w:t>78,71%</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3.</w:t>
            </w:r>
          </w:p>
        </w:tc>
        <w:tc>
          <w:tcPr>
            <w:tcW w:w="2635" w:type="dxa"/>
            <w:shd w:val="clear" w:color="auto" w:fill="auto"/>
          </w:tcPr>
          <w:p w:rsidR="00BE47D4" w:rsidRPr="00667046" w:rsidRDefault="0060204D" w:rsidP="00183459">
            <w:pPr>
              <w:spacing w:after="0" w:line="240" w:lineRule="auto"/>
              <w:rPr>
                <w:b/>
                <w:sz w:val="20"/>
                <w:szCs w:val="20"/>
              </w:rPr>
            </w:pPr>
            <w:r>
              <w:rPr>
                <w:b/>
                <w:sz w:val="20"/>
                <w:szCs w:val="20"/>
              </w:rPr>
              <w:t>Bert Bruggeman</w:t>
            </w:r>
          </w:p>
        </w:tc>
        <w:tc>
          <w:tcPr>
            <w:tcW w:w="720" w:type="dxa"/>
            <w:shd w:val="clear" w:color="auto" w:fill="auto"/>
          </w:tcPr>
          <w:p w:rsidR="00BE47D4" w:rsidRPr="00667046" w:rsidRDefault="0060204D" w:rsidP="00667046">
            <w:pPr>
              <w:spacing w:after="0" w:line="240" w:lineRule="auto"/>
              <w:jc w:val="center"/>
              <w:rPr>
                <w:b/>
                <w:sz w:val="20"/>
                <w:szCs w:val="20"/>
              </w:rPr>
            </w:pPr>
            <w:r>
              <w:rPr>
                <w:b/>
                <w:sz w:val="20"/>
                <w:szCs w:val="20"/>
              </w:rPr>
              <w:t>75</w:t>
            </w:r>
          </w:p>
        </w:tc>
        <w:tc>
          <w:tcPr>
            <w:tcW w:w="656" w:type="dxa"/>
            <w:shd w:val="clear" w:color="auto" w:fill="auto"/>
          </w:tcPr>
          <w:p w:rsidR="00BE47D4" w:rsidRPr="00667046" w:rsidRDefault="0060204D" w:rsidP="00667046">
            <w:pPr>
              <w:spacing w:after="0" w:line="240" w:lineRule="auto"/>
              <w:jc w:val="center"/>
              <w:rPr>
                <w:b/>
                <w:sz w:val="20"/>
                <w:szCs w:val="20"/>
              </w:rPr>
            </w:pPr>
            <w:r>
              <w:rPr>
                <w:b/>
                <w:sz w:val="20"/>
                <w:szCs w:val="20"/>
              </w:rPr>
              <w:t>55</w:t>
            </w:r>
          </w:p>
        </w:tc>
        <w:tc>
          <w:tcPr>
            <w:tcW w:w="1149" w:type="dxa"/>
            <w:shd w:val="clear" w:color="auto" w:fill="auto"/>
          </w:tcPr>
          <w:p w:rsidR="00BE47D4" w:rsidRPr="00667046" w:rsidRDefault="0060204D" w:rsidP="00667046">
            <w:pPr>
              <w:spacing w:after="0" w:line="240" w:lineRule="auto"/>
              <w:jc w:val="center"/>
              <w:rPr>
                <w:b/>
                <w:sz w:val="20"/>
                <w:szCs w:val="20"/>
              </w:rPr>
            </w:pPr>
            <w:r>
              <w:rPr>
                <w:b/>
                <w:sz w:val="20"/>
                <w:szCs w:val="20"/>
              </w:rPr>
              <w:t>109</w:t>
            </w:r>
          </w:p>
        </w:tc>
        <w:tc>
          <w:tcPr>
            <w:tcW w:w="1156" w:type="dxa"/>
            <w:shd w:val="clear" w:color="auto" w:fill="auto"/>
          </w:tcPr>
          <w:p w:rsidR="00BE47D4" w:rsidRPr="00667046" w:rsidRDefault="00D80331" w:rsidP="00667046">
            <w:pPr>
              <w:spacing w:after="0" w:line="240" w:lineRule="auto"/>
              <w:jc w:val="center"/>
              <w:rPr>
                <w:b/>
                <w:sz w:val="20"/>
                <w:szCs w:val="20"/>
              </w:rPr>
            </w:pPr>
            <w:r>
              <w:rPr>
                <w:b/>
                <w:sz w:val="20"/>
                <w:szCs w:val="20"/>
              </w:rPr>
              <w:t>0.505</w:t>
            </w:r>
          </w:p>
        </w:tc>
        <w:tc>
          <w:tcPr>
            <w:tcW w:w="1153" w:type="dxa"/>
            <w:shd w:val="clear" w:color="auto" w:fill="auto"/>
          </w:tcPr>
          <w:p w:rsidR="00BE47D4" w:rsidRPr="00667046" w:rsidRDefault="00D80331" w:rsidP="00667046">
            <w:pPr>
              <w:spacing w:after="0" w:line="240" w:lineRule="auto"/>
              <w:jc w:val="center"/>
              <w:rPr>
                <w:b/>
                <w:sz w:val="20"/>
                <w:szCs w:val="20"/>
              </w:rPr>
            </w:pPr>
            <w:r>
              <w:rPr>
                <w:b/>
                <w:sz w:val="20"/>
                <w:szCs w:val="20"/>
              </w:rPr>
              <w:t>4</w:t>
            </w:r>
          </w:p>
        </w:tc>
        <w:tc>
          <w:tcPr>
            <w:tcW w:w="1284" w:type="dxa"/>
            <w:shd w:val="clear" w:color="auto" w:fill="auto"/>
          </w:tcPr>
          <w:p w:rsidR="00BE47D4" w:rsidRPr="00667046" w:rsidRDefault="00D80331" w:rsidP="00667046">
            <w:pPr>
              <w:spacing w:after="0" w:line="240" w:lineRule="auto"/>
              <w:jc w:val="center"/>
              <w:rPr>
                <w:b/>
                <w:sz w:val="20"/>
                <w:szCs w:val="20"/>
              </w:rPr>
            </w:pPr>
            <w:r>
              <w:rPr>
                <w:b/>
                <w:sz w:val="20"/>
                <w:szCs w:val="20"/>
              </w:rPr>
              <w:t>73,33%</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4.</w:t>
            </w:r>
          </w:p>
        </w:tc>
        <w:tc>
          <w:tcPr>
            <w:tcW w:w="2635" w:type="dxa"/>
            <w:shd w:val="clear" w:color="auto" w:fill="auto"/>
          </w:tcPr>
          <w:p w:rsidR="00BE47D4" w:rsidRPr="00667046" w:rsidRDefault="00D80331" w:rsidP="00183459">
            <w:pPr>
              <w:spacing w:after="0" w:line="240" w:lineRule="auto"/>
              <w:rPr>
                <w:b/>
                <w:sz w:val="20"/>
                <w:szCs w:val="20"/>
              </w:rPr>
            </w:pPr>
            <w:r>
              <w:rPr>
                <w:b/>
                <w:sz w:val="20"/>
                <w:szCs w:val="20"/>
              </w:rPr>
              <w:t>Ton Bakker</w:t>
            </w:r>
          </w:p>
        </w:tc>
        <w:tc>
          <w:tcPr>
            <w:tcW w:w="720" w:type="dxa"/>
            <w:shd w:val="clear" w:color="auto" w:fill="auto"/>
          </w:tcPr>
          <w:p w:rsidR="00BE47D4" w:rsidRPr="00667046" w:rsidRDefault="00D80331" w:rsidP="00667046">
            <w:pPr>
              <w:spacing w:after="0" w:line="240" w:lineRule="auto"/>
              <w:jc w:val="center"/>
              <w:rPr>
                <w:b/>
                <w:sz w:val="20"/>
                <w:szCs w:val="20"/>
              </w:rPr>
            </w:pPr>
            <w:r>
              <w:rPr>
                <w:b/>
                <w:sz w:val="20"/>
                <w:szCs w:val="20"/>
              </w:rPr>
              <w:t>63</w:t>
            </w:r>
          </w:p>
        </w:tc>
        <w:tc>
          <w:tcPr>
            <w:tcW w:w="656" w:type="dxa"/>
            <w:shd w:val="clear" w:color="auto" w:fill="auto"/>
          </w:tcPr>
          <w:p w:rsidR="00BE47D4" w:rsidRPr="00667046" w:rsidRDefault="002B0555" w:rsidP="00667046">
            <w:pPr>
              <w:spacing w:after="0" w:line="240" w:lineRule="auto"/>
              <w:jc w:val="center"/>
              <w:rPr>
                <w:b/>
                <w:sz w:val="20"/>
                <w:szCs w:val="20"/>
              </w:rPr>
            </w:pPr>
            <w:r>
              <w:rPr>
                <w:b/>
                <w:sz w:val="20"/>
                <w:szCs w:val="20"/>
              </w:rPr>
              <w:t>46</w:t>
            </w:r>
          </w:p>
        </w:tc>
        <w:tc>
          <w:tcPr>
            <w:tcW w:w="1149" w:type="dxa"/>
            <w:shd w:val="clear" w:color="auto" w:fill="auto"/>
          </w:tcPr>
          <w:p w:rsidR="00BE47D4" w:rsidRPr="00667046" w:rsidRDefault="002B0555" w:rsidP="00667046">
            <w:pPr>
              <w:spacing w:after="0" w:line="240" w:lineRule="auto"/>
              <w:jc w:val="center"/>
              <w:rPr>
                <w:b/>
                <w:sz w:val="20"/>
                <w:szCs w:val="20"/>
              </w:rPr>
            </w:pPr>
            <w:r>
              <w:rPr>
                <w:b/>
                <w:sz w:val="20"/>
                <w:szCs w:val="20"/>
              </w:rPr>
              <w:t>115</w:t>
            </w:r>
          </w:p>
        </w:tc>
        <w:tc>
          <w:tcPr>
            <w:tcW w:w="1156" w:type="dxa"/>
            <w:shd w:val="clear" w:color="auto" w:fill="auto"/>
          </w:tcPr>
          <w:p w:rsidR="00BE47D4" w:rsidRPr="00667046" w:rsidRDefault="002B0555" w:rsidP="00667046">
            <w:pPr>
              <w:spacing w:after="0" w:line="240" w:lineRule="auto"/>
              <w:jc w:val="center"/>
              <w:rPr>
                <w:b/>
                <w:sz w:val="20"/>
                <w:szCs w:val="20"/>
              </w:rPr>
            </w:pPr>
            <w:r>
              <w:rPr>
                <w:b/>
                <w:sz w:val="20"/>
                <w:szCs w:val="20"/>
              </w:rPr>
              <w:t>0.400</w:t>
            </w:r>
          </w:p>
        </w:tc>
        <w:tc>
          <w:tcPr>
            <w:tcW w:w="1153" w:type="dxa"/>
            <w:shd w:val="clear" w:color="auto" w:fill="auto"/>
          </w:tcPr>
          <w:p w:rsidR="00BE47D4" w:rsidRPr="00667046" w:rsidRDefault="002B0555" w:rsidP="00667046">
            <w:pPr>
              <w:spacing w:after="0" w:line="240" w:lineRule="auto"/>
              <w:jc w:val="center"/>
              <w:rPr>
                <w:b/>
                <w:sz w:val="20"/>
                <w:szCs w:val="20"/>
              </w:rPr>
            </w:pPr>
            <w:r>
              <w:rPr>
                <w:b/>
                <w:sz w:val="20"/>
                <w:szCs w:val="20"/>
              </w:rPr>
              <w:t>5</w:t>
            </w:r>
          </w:p>
        </w:tc>
        <w:tc>
          <w:tcPr>
            <w:tcW w:w="1284" w:type="dxa"/>
            <w:shd w:val="clear" w:color="auto" w:fill="auto"/>
          </w:tcPr>
          <w:p w:rsidR="00BE47D4" w:rsidRPr="00667046" w:rsidRDefault="002B0555" w:rsidP="00667046">
            <w:pPr>
              <w:spacing w:after="0" w:line="240" w:lineRule="auto"/>
              <w:jc w:val="center"/>
              <w:rPr>
                <w:b/>
                <w:sz w:val="20"/>
                <w:szCs w:val="20"/>
              </w:rPr>
            </w:pPr>
            <w:r>
              <w:rPr>
                <w:b/>
                <w:sz w:val="20"/>
                <w:szCs w:val="20"/>
              </w:rPr>
              <w:t>73.02%</w:t>
            </w:r>
          </w:p>
        </w:tc>
      </w:tr>
    </w:tbl>
    <w:p w:rsidR="006C7488" w:rsidRDefault="006C7488" w:rsidP="006C7488"/>
    <w:p w:rsidR="00BE47D4" w:rsidRPr="00BE47D4" w:rsidRDefault="00BE47D4" w:rsidP="00BE47D4">
      <w:pPr>
        <w:pStyle w:val="Heading2"/>
        <w:rPr>
          <w:sz w:val="28"/>
          <w:szCs w:val="28"/>
        </w:rPr>
      </w:pPr>
      <w:r w:rsidRPr="00BE47D4">
        <w:rPr>
          <w:sz w:val="28"/>
          <w:szCs w:val="28"/>
        </w:rPr>
        <w:t>Finale verslag driebanden klein.</w:t>
      </w:r>
    </w:p>
    <w:p w:rsidR="00B04A0A" w:rsidRDefault="00B04A0A" w:rsidP="006C7488">
      <w:pPr>
        <w:rPr>
          <w:b/>
        </w:rPr>
      </w:pPr>
    </w:p>
    <w:p w:rsidR="00BE47D4" w:rsidRDefault="009409B7" w:rsidP="006C7488">
      <w:pPr>
        <w:rPr>
          <w:b/>
        </w:rPr>
      </w:pPr>
      <w:r w:rsidRPr="00113DB1">
        <w:rPr>
          <w:b/>
        </w:rPr>
        <w:t>Ronde 1</w:t>
      </w:r>
    </w:p>
    <w:p w:rsidR="00AD6212" w:rsidRPr="00AD6212" w:rsidRDefault="00AD6212" w:rsidP="006C7488">
      <w:r w:rsidRPr="00AD6212">
        <w:t xml:space="preserve">Gezien het feit dat alle 4 de spelers voor het eerst in hun carriere de finale van de Stokkersbokaal hebben bereikt kunnen we dus stellen dat er sowieso een nieuwe kampioen bijkomt dit jaar, wie dat </w:t>
      </w:r>
      <w:r w:rsidR="00665E2C">
        <w:t xml:space="preserve">gaat worden </w:t>
      </w:r>
      <w:r w:rsidRPr="00AD6212">
        <w:t>zal de komende partijen gaan blijken.</w:t>
      </w:r>
      <w:r>
        <w:br/>
        <w:t xml:space="preserve">Op tafel 1 dienden Wim en Hans hun kunsten te vertonen en op tafel 2 </w:t>
      </w:r>
      <w:r w:rsidR="00665E2C">
        <w:t>waren</w:t>
      </w:r>
      <w:r>
        <w:t xml:space="preserve"> Bert en Ton </w:t>
      </w:r>
      <w:r w:rsidR="00665E2C">
        <w:t xml:space="preserve">aan </w:t>
      </w:r>
      <w:r>
        <w:t xml:space="preserve">de </w:t>
      </w:r>
      <w:r w:rsidR="00665E2C">
        <w:t>beurt</w:t>
      </w:r>
      <w:r>
        <w:t>.</w:t>
      </w:r>
      <w:r w:rsidR="00665E2C">
        <w:br/>
        <w:t>Ton had duidelijk zijn zenuwen het beste onder bedwang, wellicht mede dankzij de onverwachte support van zijn vrouw, hij wist namelijk gedecideerd van Bert te winnen in 31 beurten, 21 om 11. Aangezien Bert normaliter veel beter kan, vrees ik dat de volgende tegenstander het wel eens kan ontgelden, we zullen zien.</w:t>
      </w:r>
      <w:r w:rsidR="00BE195B">
        <w:br/>
      </w:r>
      <w:r w:rsidR="00BE195B">
        <w:lastRenderedPageBreak/>
        <w:t>Op tafel 2 ging het niet zo snel als op tafel 1, maar Hans wist er in 55 beurten een solide overwinning uit het vuur te slepen door met 49 om 20 te winnen.</w:t>
      </w:r>
    </w:p>
    <w:p w:rsidR="00D63C56" w:rsidRPr="002D67BA" w:rsidRDefault="001A2E6C" w:rsidP="006C7488">
      <w:r w:rsidRPr="00113DB1">
        <w:rPr>
          <w:b/>
        </w:rPr>
        <w:t>Ronde 2</w:t>
      </w:r>
      <w:r w:rsidR="001826F6" w:rsidRPr="001826F6">
        <w:br/>
      </w:r>
      <w:r w:rsidR="001826F6" w:rsidRPr="001826F6">
        <w:br/>
        <w:t>De winnaars dienden nu van tafel te wisselen terwijl de verliezers mochten blijven staan</w:t>
      </w:r>
      <w:r w:rsidR="001826F6">
        <w:t>.</w:t>
      </w:r>
      <w:r w:rsidR="002D67BA">
        <w:br/>
      </w:r>
      <w:r w:rsidR="00CB3112">
        <w:t xml:space="preserve">Kortom Hans versus Bert en Ton versus Wim, eens kijken in hoeverre de </w:t>
      </w:r>
      <w:r w:rsidR="00D63C56">
        <w:t xml:space="preserve">getergde </w:t>
      </w:r>
      <w:r w:rsidR="00CB3112">
        <w:t>verliezers van ronde 1 zich kunnen herstellen of niet.</w:t>
      </w:r>
      <w:r w:rsidR="00D63C56">
        <w:br/>
        <w:t>Wim gaat in ieder geval als een speer en staat na 17 beurten met 14 om 3 voor tegen Ton, terwijl Bert op de andere tafel Hans aardig in toom houdt gezien de tussenstand van 10 om 8 in 11 beurten weliswaar in het voordeel van Hans, maar die moet er ook een “paar” meer maken.</w:t>
      </w:r>
      <w:r w:rsidR="0063258A">
        <w:br/>
        <w:t>Wim grijpt in ieder geval zijn laatste kans door Ton een vernietigende nederlaag toe te brengen, want dat mag je toch wel zeggen na 36 beurten met 23 om 5(!).</w:t>
      </w:r>
      <w:r w:rsidR="0063258A">
        <w:br/>
        <w:t xml:space="preserve">Ondertussen laat Bert het er een beetje inzitten door wat ze in vakjargon een vastloper noemen </w:t>
      </w:r>
      <w:r w:rsidR="00F430EE">
        <w:t xml:space="preserve">(of zou het de kwaliteit van de tegenstander zijn?) </w:t>
      </w:r>
      <w:r w:rsidR="0063258A">
        <w:t>en aangezien Hans wel blijft scoren resulteert dat in een tussenstand van 30 om 12 in 23 beurten.</w:t>
      </w:r>
      <w:r w:rsidR="00B75A7F">
        <w:t xml:space="preserve"> Uiteindelijk won Hans ook overtuigend met 49 om 19 in 37 beurten goed voor een moyenne van 1.324, voorwaar geen sinicure.</w:t>
      </w:r>
    </w:p>
    <w:p w:rsidR="00501283" w:rsidRDefault="007E04A1" w:rsidP="00B75A7F">
      <w:r w:rsidRPr="00113DB1">
        <w:rPr>
          <w:b/>
        </w:rPr>
        <w:t xml:space="preserve">Ronde </w:t>
      </w:r>
      <w:r>
        <w:rPr>
          <w:b/>
        </w:rPr>
        <w:t>3</w:t>
      </w:r>
      <w:r w:rsidR="00A70A88">
        <w:rPr>
          <w:b/>
        </w:rPr>
        <w:br/>
      </w:r>
      <w:r w:rsidR="00A70A88">
        <w:rPr>
          <w:b/>
        </w:rPr>
        <w:br/>
      </w:r>
      <w:r w:rsidR="00B75A7F">
        <w:t>Het lijkt er op dat bij het begin van ronde 3 de kaarten al geschud zijn, gezien de ontluisterende nederlaag van Ton in ronde 2 na zijn magnifieke optreden in ronde 1, Wim houdt de spanning er in ieder geval nog enigszins in doordat hij Ton zo wist te verslaan, maar alles hangt nu af van hoe sommige spelers zich kunnen herstellen van de toegebrachte nederlagen, wil men nog een kans maken tegen de inmiddels ontketende Hans…………..</w:t>
      </w:r>
      <w:r w:rsidR="00B75A7F">
        <w:br/>
        <w:t>Hans neemt het op tegen Ton en Wim staat in de biljartarena van BC Stokkers tegenover Bert, we zullen zien hoe deze titanenstrijd zich zal ontwikkelen.</w:t>
      </w:r>
      <w:r w:rsidR="00B75A7F">
        <w:br/>
      </w:r>
      <w:r w:rsidR="00F158FA">
        <w:t>Hans gaat in ieder geval in het begin gewoon verder met het maken van caramboles en leidt na 11 beurten met 10 om 4. Op de andere tafel laat Wim zich ook niet onbetuigd en leidt na 11 beurten met 6 om 3. De vraag is wat betekent dit voor het verdere verloop van de partij, KWW…</w:t>
      </w:r>
      <w:r w:rsidR="00F158FA">
        <w:br/>
      </w:r>
      <w:r w:rsidR="001A040D">
        <w:t xml:space="preserve">Zo te zien weinig want Wim staat na 16 beurten ineens achter met 8 om 6, Hans blijft daarentegen gewoon doorgaan en staat met 16 om 4 voor na 15 beurten, het lijkt er dus op dat de beslissing al </w:t>
      </w:r>
      <w:r w:rsidR="008E4E87">
        <w:t xml:space="preserve">voortijdig </w:t>
      </w:r>
      <w:r w:rsidR="001A040D">
        <w:t>is gevallen…………</w:t>
      </w:r>
      <w:r w:rsidR="008E4E87">
        <w:br/>
      </w:r>
      <w:r w:rsidR="00C164B8">
        <w:t>Na 31 beurten en 15 om 9 voor Bert lijken de kansen voor Wim over te zijn, te meer omdat Hans na 28 beurten met 29 om 6 voorstaat, toch blijft het op de één of andere wijze spannend voor het publiek dat intens meeleeft.</w:t>
      </w:r>
      <w:r w:rsidR="00F5288C">
        <w:br/>
        <w:t>Bert weet de eer te redden en verslaat Wim in 41 met 25 om 12, duidelijk genoeg lijkt me.</w:t>
      </w:r>
      <w:r w:rsidR="00F5288C">
        <w:br/>
        <w:t xml:space="preserve">Hans kan dus gerust zijn want zijn enige </w:t>
      </w:r>
      <w:r w:rsidR="0060204D">
        <w:t>overgebleven c</w:t>
      </w:r>
      <w:r w:rsidR="00F5288C">
        <w:t>oncurrent is gesneuveld</w:t>
      </w:r>
      <w:r w:rsidR="00501283">
        <w:t xml:space="preserve"> en hij hoeft eigenlijk niet eens meer te winnen, uiteraard is dat zijn eer te na en gaat hij gewoon door met caramboleren alsof het niets is en wint na </w:t>
      </w:r>
      <w:r w:rsidR="002B0555">
        <w:t>48</w:t>
      </w:r>
      <w:r w:rsidR="00501283">
        <w:t xml:space="preserve"> beurten met 49 om </w:t>
      </w:r>
      <w:r w:rsidR="002B0555">
        <w:t>20</w:t>
      </w:r>
      <w:r w:rsidR="00501283">
        <w:t>, waarmee hij de terechte winnaar is geworden van deze editie van de Stokkersbokaal driebanden klein editie 2019.</w:t>
      </w:r>
    </w:p>
    <w:p w:rsidR="00501283" w:rsidRDefault="00501283" w:rsidP="00B75A7F"/>
    <w:p w:rsidR="00B75A7F" w:rsidRPr="00A70A88" w:rsidRDefault="00501283" w:rsidP="00B75A7F">
      <w:r>
        <w:t>Hans namens de toernooicommissie van BC Stokkers van harte gefeliciteerd,</w:t>
      </w:r>
      <w:r w:rsidR="00B75A7F">
        <w:br/>
      </w:r>
    </w:p>
    <w:sectPr w:rsidR="00B75A7F" w:rsidRPr="00A70A88" w:rsidSect="00113DB1">
      <w:pgSz w:w="11906" w:h="16838"/>
      <w:pgMar w:top="851" w:right="1418"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0042D4"/>
    <w:rsid w:val="000042D4"/>
    <w:rsid w:val="00007CC4"/>
    <w:rsid w:val="00015898"/>
    <w:rsid w:val="00016C68"/>
    <w:rsid w:val="00026DDF"/>
    <w:rsid w:val="00045A4E"/>
    <w:rsid w:val="0005391B"/>
    <w:rsid w:val="000A5ACA"/>
    <w:rsid w:val="000D22CB"/>
    <w:rsid w:val="00113DB1"/>
    <w:rsid w:val="00121381"/>
    <w:rsid w:val="001373FB"/>
    <w:rsid w:val="001826F6"/>
    <w:rsid w:val="00183459"/>
    <w:rsid w:val="001A040D"/>
    <w:rsid w:val="001A2E6C"/>
    <w:rsid w:val="001C3413"/>
    <w:rsid w:val="001C34BE"/>
    <w:rsid w:val="001D526D"/>
    <w:rsid w:val="002A34AB"/>
    <w:rsid w:val="002A6C3A"/>
    <w:rsid w:val="002B0555"/>
    <w:rsid w:val="002B116E"/>
    <w:rsid w:val="002B767E"/>
    <w:rsid w:val="002D67BA"/>
    <w:rsid w:val="003540F2"/>
    <w:rsid w:val="003813BD"/>
    <w:rsid w:val="003B55BE"/>
    <w:rsid w:val="003F75FE"/>
    <w:rsid w:val="00501283"/>
    <w:rsid w:val="00501906"/>
    <w:rsid w:val="005330F7"/>
    <w:rsid w:val="005A12F6"/>
    <w:rsid w:val="005D0085"/>
    <w:rsid w:val="005E09A7"/>
    <w:rsid w:val="0060204D"/>
    <w:rsid w:val="00621C15"/>
    <w:rsid w:val="00630BF0"/>
    <w:rsid w:val="0063258A"/>
    <w:rsid w:val="00662A7D"/>
    <w:rsid w:val="00665E2C"/>
    <w:rsid w:val="00667046"/>
    <w:rsid w:val="006A7FD2"/>
    <w:rsid w:val="006C7488"/>
    <w:rsid w:val="007B00C5"/>
    <w:rsid w:val="007E04A1"/>
    <w:rsid w:val="007E29CB"/>
    <w:rsid w:val="007F6396"/>
    <w:rsid w:val="008A0147"/>
    <w:rsid w:val="008E4E87"/>
    <w:rsid w:val="00917E14"/>
    <w:rsid w:val="009409B7"/>
    <w:rsid w:val="00951DDB"/>
    <w:rsid w:val="0095207A"/>
    <w:rsid w:val="00991042"/>
    <w:rsid w:val="009A2E25"/>
    <w:rsid w:val="009A5E50"/>
    <w:rsid w:val="009A64EA"/>
    <w:rsid w:val="00A51BE3"/>
    <w:rsid w:val="00A70A88"/>
    <w:rsid w:val="00AC714A"/>
    <w:rsid w:val="00AD6212"/>
    <w:rsid w:val="00B04A0A"/>
    <w:rsid w:val="00B100D5"/>
    <w:rsid w:val="00B6442F"/>
    <w:rsid w:val="00B75A7F"/>
    <w:rsid w:val="00BE0B23"/>
    <w:rsid w:val="00BE195B"/>
    <w:rsid w:val="00BE47D4"/>
    <w:rsid w:val="00C1278E"/>
    <w:rsid w:val="00C164B8"/>
    <w:rsid w:val="00C41721"/>
    <w:rsid w:val="00C61D33"/>
    <w:rsid w:val="00CB3112"/>
    <w:rsid w:val="00D33D22"/>
    <w:rsid w:val="00D63C56"/>
    <w:rsid w:val="00D80331"/>
    <w:rsid w:val="00D86FCA"/>
    <w:rsid w:val="00E026CF"/>
    <w:rsid w:val="00E03EF5"/>
    <w:rsid w:val="00EE6897"/>
    <w:rsid w:val="00EF59F0"/>
    <w:rsid w:val="00F158FA"/>
    <w:rsid w:val="00F430EE"/>
    <w:rsid w:val="00F528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C4"/>
    <w:pPr>
      <w:spacing w:after="200" w:line="276" w:lineRule="auto"/>
    </w:pPr>
    <w:rPr>
      <w:sz w:val="22"/>
      <w:szCs w:val="22"/>
      <w:lang w:eastAsia="en-US"/>
    </w:rPr>
  </w:style>
  <w:style w:type="paragraph" w:styleId="Heading1">
    <w:name w:val="heading 1"/>
    <w:basedOn w:val="Normal"/>
    <w:next w:val="Normal"/>
    <w:link w:val="Heading1Char"/>
    <w:uiPriority w:val="9"/>
    <w:qFormat/>
    <w:rsid w:val="000042D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042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42D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042D4"/>
    <w:rPr>
      <w:rFonts w:ascii="Cambria" w:eastAsia="Times New Roman" w:hAnsi="Cambria" w:cs="Times New Roman"/>
      <w:b/>
      <w:bCs/>
      <w:color w:val="4F81BD"/>
      <w:sz w:val="26"/>
      <w:szCs w:val="26"/>
    </w:rPr>
  </w:style>
  <w:style w:type="table" w:styleId="TableGrid">
    <w:name w:val="Table Grid"/>
    <w:basedOn w:val="TableNormal"/>
    <w:uiPriority w:val="59"/>
    <w:rsid w:val="006C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E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4051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Apollo Vredestein BV</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Panders</cp:lastModifiedBy>
  <cp:revision>2</cp:revision>
  <cp:lastPrinted>2019-07-12T21:15:00Z</cp:lastPrinted>
  <dcterms:created xsi:type="dcterms:W3CDTF">2019-07-12T21:25:00Z</dcterms:created>
  <dcterms:modified xsi:type="dcterms:W3CDTF">2019-07-12T21:25:00Z</dcterms:modified>
</cp:coreProperties>
</file>